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CB6" w14:textId="77777777" w:rsidR="005D430A" w:rsidRPr="005D430A" w:rsidRDefault="005D430A" w:rsidP="005D430A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5D430A">
        <w:rPr>
          <w:rFonts w:ascii="Garamond" w:hAnsi="Garamond"/>
          <w:b/>
          <w:bCs/>
          <w:sz w:val="28"/>
          <w:szCs w:val="28"/>
        </w:rPr>
        <w:t>Sugestie wykonawcze i realizacyjne:</w:t>
      </w:r>
    </w:p>
    <w:p w14:paraId="0BEED044" w14:textId="6564827F" w:rsidR="007A5231" w:rsidRPr="008233D5" w:rsidRDefault="007A5231" w:rsidP="005D430A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24F606A" w14:textId="5A32900F" w:rsidR="000654AD" w:rsidRPr="008233D5" w:rsidRDefault="000654AD" w:rsidP="005D430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71147AE" w14:textId="77777777" w:rsidR="005D430A" w:rsidRDefault="000654AD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5D430A">
        <w:rPr>
          <w:rFonts w:ascii="Garamond" w:hAnsi="Garamond"/>
          <w:sz w:val="24"/>
          <w:szCs w:val="24"/>
        </w:rPr>
        <w:t xml:space="preserve">Okna HSS </w:t>
      </w:r>
      <w:r w:rsidR="005D430A">
        <w:rPr>
          <w:rFonts w:ascii="Garamond" w:hAnsi="Garamond"/>
          <w:sz w:val="24"/>
          <w:szCs w:val="24"/>
        </w:rPr>
        <w:t xml:space="preserve">można </w:t>
      </w:r>
      <w:r w:rsidRPr="005D430A">
        <w:rPr>
          <w:rFonts w:ascii="Garamond" w:hAnsi="Garamond"/>
          <w:sz w:val="24"/>
          <w:szCs w:val="24"/>
        </w:rPr>
        <w:t>zmienić na okna PCV.</w:t>
      </w:r>
    </w:p>
    <w:p w14:paraId="68B5055A" w14:textId="096D32C5" w:rsidR="000654AD" w:rsidRDefault="000654AD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5D430A">
        <w:rPr>
          <w:rFonts w:ascii="Garamond" w:hAnsi="Garamond"/>
          <w:sz w:val="24"/>
          <w:szCs w:val="24"/>
        </w:rPr>
        <w:t xml:space="preserve">Dach na rąbek stojący </w:t>
      </w:r>
      <w:r w:rsidR="005D430A">
        <w:rPr>
          <w:rFonts w:ascii="Garamond" w:hAnsi="Garamond"/>
          <w:sz w:val="24"/>
          <w:szCs w:val="24"/>
        </w:rPr>
        <w:t xml:space="preserve">można zmienić na </w:t>
      </w:r>
      <w:r w:rsidRPr="005D430A">
        <w:rPr>
          <w:rFonts w:ascii="Garamond" w:hAnsi="Garamond"/>
          <w:sz w:val="24"/>
          <w:szCs w:val="24"/>
        </w:rPr>
        <w:t>blachodachówkę</w:t>
      </w:r>
      <w:r w:rsidR="005D430A">
        <w:rPr>
          <w:rFonts w:ascii="Garamond" w:hAnsi="Garamond"/>
          <w:sz w:val="24"/>
          <w:szCs w:val="24"/>
        </w:rPr>
        <w:t xml:space="preserve"> (</w:t>
      </w:r>
      <w:r w:rsidR="004C1806">
        <w:rPr>
          <w:rFonts w:ascii="Garamond" w:hAnsi="Garamond"/>
          <w:sz w:val="24"/>
          <w:szCs w:val="24"/>
        </w:rPr>
        <w:t xml:space="preserve">przy </w:t>
      </w:r>
      <w:r w:rsidR="005D430A">
        <w:rPr>
          <w:rFonts w:ascii="Garamond" w:hAnsi="Garamond"/>
          <w:sz w:val="24"/>
          <w:szCs w:val="24"/>
        </w:rPr>
        <w:t>blachodachó</w:t>
      </w:r>
      <w:r w:rsidR="004C1806">
        <w:rPr>
          <w:rFonts w:ascii="Garamond" w:hAnsi="Garamond"/>
          <w:sz w:val="24"/>
          <w:szCs w:val="24"/>
        </w:rPr>
        <w:t>wce</w:t>
      </w:r>
      <w:r w:rsidR="005D430A">
        <w:rPr>
          <w:rFonts w:ascii="Garamond" w:hAnsi="Garamond"/>
          <w:sz w:val="24"/>
          <w:szCs w:val="24"/>
        </w:rPr>
        <w:t xml:space="preserve"> nie trzeba wykonywać pełnego deskowania)</w:t>
      </w:r>
      <w:r w:rsidRPr="005D430A">
        <w:rPr>
          <w:rFonts w:ascii="Garamond" w:hAnsi="Garamond"/>
          <w:sz w:val="24"/>
          <w:szCs w:val="24"/>
        </w:rPr>
        <w:t xml:space="preserve">. </w:t>
      </w:r>
    </w:p>
    <w:p w14:paraId="3B018955" w14:textId="6D2F1C52" w:rsidR="005D430A" w:rsidRPr="005D430A" w:rsidRDefault="005D430A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8233D5">
        <w:rPr>
          <w:rFonts w:ascii="Garamond" w:hAnsi="Garamond"/>
          <w:sz w:val="24"/>
          <w:szCs w:val="24"/>
        </w:rPr>
        <w:t>lewacje</w:t>
      </w:r>
      <w:r>
        <w:rPr>
          <w:rFonts w:ascii="Garamond" w:hAnsi="Garamond"/>
          <w:sz w:val="24"/>
          <w:szCs w:val="24"/>
        </w:rPr>
        <w:t xml:space="preserve"> </w:t>
      </w:r>
      <w:r w:rsidR="004C1806">
        <w:rPr>
          <w:rFonts w:ascii="Garamond" w:hAnsi="Garamond"/>
          <w:sz w:val="24"/>
          <w:szCs w:val="24"/>
        </w:rPr>
        <w:t xml:space="preserve">można </w:t>
      </w:r>
      <w:r>
        <w:rPr>
          <w:rFonts w:ascii="Garamond" w:hAnsi="Garamond"/>
          <w:sz w:val="24"/>
          <w:szCs w:val="24"/>
        </w:rPr>
        <w:t>wykonać niedeskowaną a tylko</w:t>
      </w:r>
      <w:r w:rsidRPr="008233D5">
        <w:rPr>
          <w:rFonts w:ascii="Garamond" w:hAnsi="Garamond"/>
          <w:sz w:val="24"/>
          <w:szCs w:val="24"/>
        </w:rPr>
        <w:t xml:space="preserve"> z tynku silikonowego</w:t>
      </w:r>
      <w:r>
        <w:rPr>
          <w:rFonts w:ascii="Garamond" w:hAnsi="Garamond"/>
          <w:sz w:val="24"/>
          <w:szCs w:val="24"/>
        </w:rPr>
        <w:t>/silikatowego.</w:t>
      </w:r>
    </w:p>
    <w:p w14:paraId="622B1FE1" w14:textId="1F334D0A" w:rsidR="008233D5" w:rsidRPr="005D430A" w:rsidRDefault="008233D5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233D5">
        <w:rPr>
          <w:rFonts w:ascii="Garamond" w:hAnsi="Garamond"/>
          <w:sz w:val="24"/>
          <w:szCs w:val="24"/>
        </w:rPr>
        <w:t>Moż</w:t>
      </w:r>
      <w:r w:rsidR="0052559E">
        <w:rPr>
          <w:rFonts w:ascii="Garamond" w:hAnsi="Garamond"/>
          <w:sz w:val="24"/>
          <w:szCs w:val="24"/>
        </w:rPr>
        <w:t>na</w:t>
      </w:r>
      <w:r w:rsidRPr="008233D5">
        <w:rPr>
          <w:rFonts w:ascii="Garamond" w:hAnsi="Garamond"/>
          <w:sz w:val="24"/>
          <w:szCs w:val="24"/>
        </w:rPr>
        <w:t xml:space="preserve"> </w:t>
      </w:r>
      <w:r w:rsidR="0052559E">
        <w:rPr>
          <w:rFonts w:ascii="Garamond" w:hAnsi="Garamond"/>
          <w:sz w:val="24"/>
          <w:szCs w:val="24"/>
        </w:rPr>
        <w:t>z</w:t>
      </w:r>
      <w:r w:rsidR="004C1806">
        <w:rPr>
          <w:rFonts w:ascii="Garamond" w:hAnsi="Garamond"/>
          <w:sz w:val="24"/>
          <w:szCs w:val="24"/>
        </w:rPr>
        <w:t>rezygn</w:t>
      </w:r>
      <w:r w:rsidR="0052559E">
        <w:rPr>
          <w:rFonts w:ascii="Garamond" w:hAnsi="Garamond"/>
          <w:sz w:val="24"/>
          <w:szCs w:val="24"/>
        </w:rPr>
        <w:t>ować</w:t>
      </w:r>
      <w:r w:rsidR="004C1806">
        <w:rPr>
          <w:rFonts w:ascii="Garamond" w:hAnsi="Garamond"/>
          <w:sz w:val="24"/>
          <w:szCs w:val="24"/>
        </w:rPr>
        <w:t xml:space="preserve"> z</w:t>
      </w:r>
      <w:r w:rsidR="00903E9D" w:rsidRPr="008233D5">
        <w:rPr>
          <w:rFonts w:ascii="Garamond" w:hAnsi="Garamond"/>
          <w:sz w:val="24"/>
          <w:szCs w:val="24"/>
        </w:rPr>
        <w:t xml:space="preserve"> podbicia krokwi wystających poza obręb budynku pod okapami bocznymi lub maskowania płatwi pod okapami szczytowymi. Krokwie </w:t>
      </w:r>
      <w:r w:rsidR="006B591D">
        <w:rPr>
          <w:rFonts w:ascii="Garamond" w:hAnsi="Garamond"/>
          <w:sz w:val="24"/>
          <w:szCs w:val="24"/>
        </w:rPr>
        <w:t>mogą</w:t>
      </w:r>
      <w:r w:rsidR="00903E9D" w:rsidRPr="008233D5">
        <w:rPr>
          <w:rFonts w:ascii="Garamond" w:hAnsi="Garamond"/>
          <w:sz w:val="24"/>
          <w:szCs w:val="24"/>
        </w:rPr>
        <w:t xml:space="preserve"> być otwarte z odpowiednim wykończeniem pozwalającym na właściwą pracę drewna</w:t>
      </w:r>
      <w:r w:rsidR="004C1806">
        <w:rPr>
          <w:rFonts w:ascii="Garamond" w:hAnsi="Garamond"/>
          <w:sz w:val="24"/>
          <w:szCs w:val="24"/>
        </w:rPr>
        <w:t>.</w:t>
      </w:r>
      <w:r w:rsidR="00903E9D" w:rsidRPr="008233D5">
        <w:rPr>
          <w:rFonts w:ascii="Garamond" w:hAnsi="Garamond"/>
          <w:sz w:val="24"/>
          <w:szCs w:val="24"/>
        </w:rPr>
        <w:t xml:space="preserve"> </w:t>
      </w:r>
    </w:p>
    <w:p w14:paraId="7698D07E" w14:textId="29363FB8" w:rsidR="008233D5" w:rsidRPr="005D430A" w:rsidRDefault="008233D5" w:rsidP="005D430A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233D5">
        <w:rPr>
          <w:rFonts w:ascii="Garamond" w:hAnsi="Garamond"/>
          <w:sz w:val="24"/>
          <w:szCs w:val="24"/>
        </w:rPr>
        <w:t xml:space="preserve">Jętki </w:t>
      </w:r>
      <w:r w:rsidR="004C1806">
        <w:rPr>
          <w:rFonts w:ascii="Garamond" w:hAnsi="Garamond"/>
          <w:sz w:val="24"/>
          <w:szCs w:val="24"/>
        </w:rPr>
        <w:t>p</w:t>
      </w:r>
      <w:r w:rsidRPr="008233D5">
        <w:rPr>
          <w:rFonts w:ascii="Garamond" w:hAnsi="Garamond"/>
          <w:sz w:val="24"/>
          <w:szCs w:val="24"/>
        </w:rPr>
        <w:t xml:space="preserve">owinny zostać połączone na tradycyjne złącza ciesielskie i śruby zamaskowane flekiem. </w:t>
      </w:r>
      <w:r w:rsidR="00FE5831">
        <w:rPr>
          <w:rFonts w:ascii="Garamond" w:hAnsi="Garamond"/>
          <w:sz w:val="24"/>
          <w:szCs w:val="24"/>
        </w:rPr>
        <w:t>B</w:t>
      </w:r>
      <w:r w:rsidRPr="008233D5">
        <w:rPr>
          <w:rFonts w:ascii="Garamond" w:hAnsi="Garamond"/>
          <w:sz w:val="24"/>
          <w:szCs w:val="24"/>
        </w:rPr>
        <w:t>elki łukowe</w:t>
      </w:r>
      <w:r w:rsidR="00FE5831">
        <w:rPr>
          <w:rFonts w:ascii="Garamond" w:hAnsi="Garamond"/>
          <w:sz w:val="24"/>
          <w:szCs w:val="24"/>
        </w:rPr>
        <w:t xml:space="preserve"> powinny być posadowione</w:t>
      </w:r>
      <w:r w:rsidRPr="008233D5">
        <w:rPr>
          <w:rFonts w:ascii="Garamond" w:hAnsi="Garamond"/>
          <w:sz w:val="24"/>
          <w:szCs w:val="24"/>
        </w:rPr>
        <w:t xml:space="preserve"> na uskoku jętki. Należy zastosować wycięcie umożliwiające montaż belki łukowej jednocześnie do słupa i belki poziomej. </w:t>
      </w:r>
      <w:r w:rsidR="006B591D">
        <w:rPr>
          <w:rFonts w:ascii="Garamond" w:hAnsi="Garamond"/>
          <w:sz w:val="24"/>
          <w:szCs w:val="24"/>
        </w:rPr>
        <w:t xml:space="preserve">Zaleca się </w:t>
      </w:r>
      <w:r w:rsidRPr="008233D5">
        <w:rPr>
          <w:rFonts w:ascii="Garamond" w:hAnsi="Garamond"/>
          <w:sz w:val="24"/>
          <w:szCs w:val="24"/>
        </w:rPr>
        <w:t>frez</w:t>
      </w:r>
      <w:r w:rsidR="006B591D">
        <w:rPr>
          <w:rFonts w:ascii="Garamond" w:hAnsi="Garamond"/>
          <w:sz w:val="24"/>
          <w:szCs w:val="24"/>
        </w:rPr>
        <w:t>owane</w:t>
      </w:r>
      <w:r w:rsidRPr="008233D5">
        <w:rPr>
          <w:rFonts w:ascii="Garamond" w:hAnsi="Garamond"/>
          <w:sz w:val="24"/>
          <w:szCs w:val="24"/>
        </w:rPr>
        <w:t xml:space="preserve"> wzdłużnych krawędzi belek (minimalizują one pęknięcia sorpcyjne - spękanie wzdłużne drewna). </w:t>
      </w:r>
    </w:p>
    <w:p w14:paraId="0CC386BA" w14:textId="24E5DDE8" w:rsidR="008233D5" w:rsidRPr="005D430A" w:rsidRDefault="008233D5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233D5">
        <w:rPr>
          <w:rFonts w:ascii="Garamond" w:hAnsi="Garamond"/>
          <w:sz w:val="24"/>
          <w:szCs w:val="24"/>
        </w:rPr>
        <w:t>Styki desek</w:t>
      </w:r>
      <w:r>
        <w:rPr>
          <w:rFonts w:ascii="Garamond" w:hAnsi="Garamond"/>
          <w:sz w:val="24"/>
          <w:szCs w:val="24"/>
        </w:rPr>
        <w:t xml:space="preserve"> w narożach</w:t>
      </w:r>
      <w:r w:rsidRPr="008233D5">
        <w:rPr>
          <w:rFonts w:ascii="Garamond" w:hAnsi="Garamond"/>
          <w:sz w:val="24"/>
          <w:szCs w:val="24"/>
        </w:rPr>
        <w:t xml:space="preserve"> powinny być zamaskowane pionowymi listwami w celu ukrycia niedoskonałości styków listew. Otwarte zbiegi listew szalunku na narożach, bez dodatkowej osłony i usztywnienia </w:t>
      </w:r>
      <w:r w:rsidR="006B591D">
        <w:rPr>
          <w:rFonts w:ascii="Garamond" w:hAnsi="Garamond"/>
          <w:sz w:val="24"/>
          <w:szCs w:val="24"/>
        </w:rPr>
        <w:t>mogą powodować</w:t>
      </w:r>
      <w:r w:rsidRPr="008233D5">
        <w:rPr>
          <w:rFonts w:ascii="Garamond" w:hAnsi="Garamond"/>
          <w:sz w:val="24"/>
          <w:szCs w:val="24"/>
        </w:rPr>
        <w:t xml:space="preserve"> odkształcanie się drewna, powstawanie szczelin, stwarzając dodatkowe ryzyko infekcji biologicznej oraz podwyższając współczynnik przenikania ciepła dla przegrody.</w:t>
      </w:r>
    </w:p>
    <w:p w14:paraId="271034EA" w14:textId="75F16060" w:rsidR="008233D5" w:rsidRDefault="008233D5" w:rsidP="005D430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233D5">
        <w:rPr>
          <w:rFonts w:ascii="Garamond" w:hAnsi="Garamond"/>
          <w:sz w:val="24"/>
          <w:szCs w:val="24"/>
        </w:rPr>
        <w:t>Orientacja</w:t>
      </w:r>
      <w:r w:rsidR="0052559E">
        <w:rPr>
          <w:rFonts w:ascii="Garamond" w:hAnsi="Garamond"/>
          <w:sz w:val="24"/>
          <w:szCs w:val="24"/>
        </w:rPr>
        <w:t xml:space="preserve"> budynku</w:t>
      </w:r>
      <w:r w:rsidR="004E2311">
        <w:rPr>
          <w:rFonts w:ascii="Garamond" w:hAnsi="Garamond"/>
          <w:sz w:val="24"/>
          <w:szCs w:val="24"/>
        </w:rPr>
        <w:t xml:space="preserve"> </w:t>
      </w:r>
      <w:r w:rsidR="008C1EFF">
        <w:rPr>
          <w:rFonts w:ascii="Garamond" w:hAnsi="Garamond"/>
          <w:sz w:val="24"/>
          <w:szCs w:val="24"/>
        </w:rPr>
        <w:t>– przyszły inwestor powinien zwrócić uwagę na orientacje budynku ponieważ</w:t>
      </w:r>
      <w:r w:rsidRPr="008233D5">
        <w:rPr>
          <w:rFonts w:ascii="Garamond" w:hAnsi="Garamond"/>
          <w:sz w:val="24"/>
          <w:szCs w:val="24"/>
        </w:rPr>
        <w:t xml:space="preserve"> </w:t>
      </w:r>
      <w:r w:rsidR="008C1EFF">
        <w:rPr>
          <w:rFonts w:ascii="Garamond" w:hAnsi="Garamond"/>
          <w:sz w:val="24"/>
          <w:szCs w:val="24"/>
        </w:rPr>
        <w:t>o</w:t>
      </w:r>
      <w:r w:rsidRPr="008233D5">
        <w:rPr>
          <w:rFonts w:ascii="Garamond" w:hAnsi="Garamond"/>
          <w:sz w:val="24"/>
          <w:szCs w:val="24"/>
        </w:rPr>
        <w:t xml:space="preserve">twockie świdermajery (i inne obiekty letniskowe) były zwykle orientowane słoneczną ścianą na </w:t>
      </w:r>
      <w:proofErr w:type="spellStart"/>
      <w:r w:rsidRPr="008233D5">
        <w:rPr>
          <w:rFonts w:ascii="Garamond" w:hAnsi="Garamond"/>
          <w:sz w:val="24"/>
          <w:szCs w:val="24"/>
        </w:rPr>
        <w:t>południowy-zachód</w:t>
      </w:r>
      <w:proofErr w:type="spellEnd"/>
      <w:r w:rsidRPr="008233D5">
        <w:rPr>
          <w:rFonts w:ascii="Garamond" w:hAnsi="Garamond"/>
          <w:sz w:val="24"/>
          <w:szCs w:val="24"/>
        </w:rPr>
        <w:t xml:space="preserve">. </w:t>
      </w:r>
    </w:p>
    <w:p w14:paraId="33CAB11A" w14:textId="480B3C7C" w:rsidR="008233D5" w:rsidRDefault="008233D5" w:rsidP="005D430A">
      <w:pPr>
        <w:spacing w:line="276" w:lineRule="auto"/>
        <w:rPr>
          <w:rFonts w:ascii="Garamond" w:hAnsi="Garamond"/>
          <w:sz w:val="24"/>
          <w:szCs w:val="24"/>
        </w:rPr>
      </w:pPr>
    </w:p>
    <w:p w14:paraId="06E4D280" w14:textId="77777777" w:rsidR="005D430A" w:rsidRPr="008233D5" w:rsidRDefault="005D430A" w:rsidP="005D430A">
      <w:pPr>
        <w:spacing w:line="276" w:lineRule="auto"/>
        <w:rPr>
          <w:rFonts w:ascii="Garamond" w:hAnsi="Garamond"/>
          <w:sz w:val="24"/>
          <w:szCs w:val="24"/>
        </w:rPr>
      </w:pPr>
    </w:p>
    <w:p w14:paraId="5A52965E" w14:textId="34A0B3E7" w:rsidR="008233D5" w:rsidRPr="005D430A" w:rsidRDefault="005D430A" w:rsidP="005D430A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5D430A">
        <w:rPr>
          <w:rFonts w:ascii="Garamond" w:hAnsi="Garamond"/>
          <w:b/>
          <w:bCs/>
          <w:sz w:val="28"/>
          <w:szCs w:val="28"/>
        </w:rPr>
        <w:t>Cechy charakterystyczne dla architektury drewnianej letnisk linii Otwockiej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2D5F8657" w14:textId="77777777" w:rsidR="008233D5" w:rsidRPr="008233D5" w:rsidRDefault="008233D5" w:rsidP="005D430A">
      <w:pPr>
        <w:spacing w:line="276" w:lineRule="auto"/>
        <w:rPr>
          <w:rFonts w:ascii="Garamond" w:hAnsi="Garamond"/>
          <w:sz w:val="24"/>
          <w:szCs w:val="24"/>
        </w:rPr>
      </w:pPr>
      <w:r w:rsidRPr="008233D5">
        <w:rPr>
          <w:rFonts w:ascii="Garamond" w:hAnsi="Garamond"/>
          <w:sz w:val="24"/>
          <w:szCs w:val="24"/>
        </w:rPr>
        <w:t xml:space="preserve"> </w:t>
      </w:r>
    </w:p>
    <w:p w14:paraId="6A1D1FFB" w14:textId="037D76CE" w:rsidR="008233D5" w:rsidRDefault="004C1806" w:rsidP="00FE5831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Poniżej </w:t>
      </w:r>
      <w:r w:rsidR="008233D5" w:rsidRPr="008233D5">
        <w:rPr>
          <w:rFonts w:ascii="Garamond" w:hAnsi="Garamond"/>
          <w:sz w:val="24"/>
          <w:szCs w:val="24"/>
        </w:rPr>
        <w:t>zestaw cech charakterystycznych dla drewnianej letniskowej architektury letnisk Linii Otwockiej</w:t>
      </w:r>
      <w:r w:rsidR="00FE5831">
        <w:rPr>
          <w:rFonts w:ascii="Garamond" w:hAnsi="Garamond"/>
          <w:sz w:val="24"/>
          <w:szCs w:val="24"/>
        </w:rPr>
        <w:t>. Z</w:t>
      </w:r>
      <w:r w:rsidR="008233D5" w:rsidRPr="008233D5">
        <w:rPr>
          <w:rFonts w:ascii="Garamond" w:hAnsi="Garamond"/>
          <w:sz w:val="24"/>
          <w:szCs w:val="24"/>
        </w:rPr>
        <w:t xml:space="preserve">espół cech podanych poniżej występuje wspólnie niezwykle rzadko w obrębie jednego obiektu. </w:t>
      </w:r>
    </w:p>
    <w:p w14:paraId="5AE4906F" w14:textId="77777777" w:rsidR="009E1730" w:rsidRPr="008233D5" w:rsidRDefault="009E1730" w:rsidP="005D430A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7A60DB70" w14:textId="77777777" w:rsidR="008233D5" w:rsidRPr="009E1730" w:rsidRDefault="008233D5" w:rsidP="005D430A">
      <w:pPr>
        <w:spacing w:line="276" w:lineRule="auto"/>
        <w:ind w:left="-5" w:hanging="10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Bryła: </w:t>
      </w:r>
    </w:p>
    <w:p w14:paraId="70CF502B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Orientacja budynku w kierunku południowo-zachodnim frontem niebędącym ścianą szczytową.  </w:t>
      </w:r>
    </w:p>
    <w:p w14:paraId="5C4384D2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Utrzymanie klasycznych proporcji bryły z zastosowaniem zasady addycyjności brył: trzon główny, skrzydła, werandy. </w:t>
      </w:r>
    </w:p>
    <w:p w14:paraId="254B483A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Szerokie okapy szczytowe wysunięte znacznie przed ścianę szczytową. </w:t>
      </w:r>
    </w:p>
    <w:p w14:paraId="541EAE0A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Wejście główne do budynku znajdujące się od strony północno-wschodniej. </w:t>
      </w:r>
    </w:p>
    <w:p w14:paraId="38078EB9" w14:textId="77777777" w:rsidR="008233D5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Wysoka ściana kolankowa. </w:t>
      </w:r>
    </w:p>
    <w:p w14:paraId="640135E1" w14:textId="77777777" w:rsidR="009E1730" w:rsidRPr="009E1730" w:rsidRDefault="009E1730" w:rsidP="009E1730">
      <w:pPr>
        <w:spacing w:line="276" w:lineRule="auto"/>
        <w:ind w:left="118"/>
        <w:rPr>
          <w:rFonts w:ascii="Garamond" w:hAnsi="Garamond"/>
          <w:color w:val="000000" w:themeColor="text1"/>
          <w:sz w:val="24"/>
          <w:szCs w:val="24"/>
        </w:rPr>
      </w:pPr>
    </w:p>
    <w:p w14:paraId="14FB27ED" w14:textId="77777777" w:rsidR="008233D5" w:rsidRPr="009E1730" w:rsidRDefault="008233D5" w:rsidP="005D430A">
      <w:pPr>
        <w:spacing w:line="276" w:lineRule="auto"/>
        <w:ind w:left="-5" w:hanging="10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Detal: </w:t>
      </w:r>
    </w:p>
    <w:p w14:paraId="023764FA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Duże połacie okien, zwykle trójdzielnych wyposażone w okna ościeżnicowe polskie. </w:t>
      </w:r>
    </w:p>
    <w:p w14:paraId="22296EF0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Użycie szalunku w układzie zmiennym – w pasie podokiennym pionowo, okiennym poziomo, ścianie kolankowej i szczycie poddasza pionowo. </w:t>
      </w:r>
    </w:p>
    <w:p w14:paraId="2A91B5CC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Użycie szalunku profilowanego łączonego na zakładkę sfazowaną. </w:t>
      </w:r>
    </w:p>
    <w:p w14:paraId="32F81DF7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Zewnętrzna jętka pod dachem szczytowym, najczęściej dekorowana ciesielskim ornamentem laubzegowym. </w:t>
      </w:r>
    </w:p>
    <w:p w14:paraId="73A251D0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Płycinowe okiennice w pasie parteru. </w:t>
      </w:r>
    </w:p>
    <w:p w14:paraId="35298489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Dekoracyjne opracowanie zakończeń krokwi i płatwi. </w:t>
      </w:r>
    </w:p>
    <w:p w14:paraId="14CE4BDF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Dekoracyjne opracowanie desek maskujących ościeżnicę – użycie profili desek maskujących stolarki wewnętrznej na elewacji. </w:t>
      </w:r>
    </w:p>
    <w:p w14:paraId="49416428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Oderwane od struktury desek masujących nadokienników i podokienników. </w:t>
      </w:r>
    </w:p>
    <w:p w14:paraId="6CAC2A92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Werandy przeszklone dużymi połaciami okien szprosowych. </w:t>
      </w:r>
    </w:p>
    <w:p w14:paraId="23EA0D4A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Dekoracyjne ażurowe opracowane ciesielsko tralki werand, tarasów i ganków. </w:t>
      </w:r>
    </w:p>
    <w:p w14:paraId="650C993C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Wypracowane ażurowo wypełnienie pod oczepem nad ryglem wiążącym słupy werand. </w:t>
      </w:r>
    </w:p>
    <w:p w14:paraId="2F5F8C55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Krzyżem św. Andrzeja, tralkami lub kratką. </w:t>
      </w:r>
    </w:p>
    <w:p w14:paraId="7F97642E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Dekorowane ażurowo-ciesielsko naroża na łączeniu słupów z ryglami. </w:t>
      </w:r>
    </w:p>
    <w:p w14:paraId="6DEB279A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Zastosowanie lambrekinów pod okapami. </w:t>
      </w:r>
    </w:p>
    <w:p w14:paraId="715B388D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Zastosowanie w pasie gzymsu na zakończeniu pasa ściany kolankowej lub deskowania poddasza w ścianie szczytowej dekoracyjnego wykończenia profilowanych i łączonych na zakładkę desek. </w:t>
      </w:r>
    </w:p>
    <w:p w14:paraId="539571EE" w14:textId="4308E958" w:rsidR="008233D5" w:rsidRDefault="009E1730" w:rsidP="005D430A">
      <w:pPr>
        <w:spacing w:line="276" w:lineRule="auto"/>
        <w:ind w:left="-5" w:hanging="1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8233D5" w:rsidRPr="009E1730">
        <w:rPr>
          <w:rFonts w:ascii="Garamond" w:hAnsi="Garamond"/>
          <w:color w:val="000000" w:themeColor="text1"/>
          <w:sz w:val="24"/>
          <w:szCs w:val="24"/>
        </w:rPr>
        <w:t xml:space="preserve">Zastosowanie w narożach ozdobnych form desek maskujących łączenie szalunku – zastosowanie </w:t>
      </w:r>
      <w:proofErr w:type="spellStart"/>
      <w:r w:rsidR="008233D5" w:rsidRPr="009E1730">
        <w:rPr>
          <w:rFonts w:ascii="Garamond" w:hAnsi="Garamond"/>
          <w:color w:val="000000" w:themeColor="text1"/>
          <w:sz w:val="24"/>
          <w:szCs w:val="24"/>
        </w:rPr>
        <w:t>pseudocokołów</w:t>
      </w:r>
      <w:proofErr w:type="spellEnd"/>
      <w:r w:rsidR="008233D5" w:rsidRPr="009E1730">
        <w:rPr>
          <w:rFonts w:ascii="Garamond" w:hAnsi="Garamond"/>
          <w:color w:val="000000" w:themeColor="text1"/>
          <w:sz w:val="24"/>
          <w:szCs w:val="24"/>
        </w:rPr>
        <w:t xml:space="preserve"> w pasie podokiennym. </w:t>
      </w:r>
    </w:p>
    <w:p w14:paraId="5DB1EF5E" w14:textId="77777777" w:rsidR="009E1730" w:rsidRPr="009E1730" w:rsidRDefault="009E1730" w:rsidP="005D430A">
      <w:pPr>
        <w:spacing w:line="276" w:lineRule="auto"/>
        <w:ind w:left="-5" w:hanging="10"/>
        <w:rPr>
          <w:rFonts w:ascii="Garamond" w:hAnsi="Garamond"/>
          <w:color w:val="000000" w:themeColor="text1"/>
          <w:sz w:val="24"/>
          <w:szCs w:val="24"/>
        </w:rPr>
      </w:pPr>
    </w:p>
    <w:p w14:paraId="2740A947" w14:textId="77777777" w:rsidR="008233D5" w:rsidRPr="009E1730" w:rsidRDefault="008233D5" w:rsidP="005D430A">
      <w:pPr>
        <w:spacing w:line="276" w:lineRule="auto"/>
        <w:ind w:left="-5" w:hanging="10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Konstrukcja: </w:t>
      </w:r>
    </w:p>
    <w:p w14:paraId="76AADF42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Konstrukcja szkieletowa, </w:t>
      </w:r>
      <w:proofErr w:type="spellStart"/>
      <w:r w:rsidRPr="009E1730">
        <w:rPr>
          <w:rFonts w:ascii="Garamond" w:hAnsi="Garamond"/>
          <w:color w:val="000000" w:themeColor="text1"/>
          <w:sz w:val="24"/>
          <w:szCs w:val="24"/>
        </w:rPr>
        <w:t>sumikowo</w:t>
      </w:r>
      <w:proofErr w:type="spellEnd"/>
      <w:r w:rsidRPr="009E1730">
        <w:rPr>
          <w:rFonts w:ascii="Garamond" w:hAnsi="Garamond"/>
          <w:color w:val="000000" w:themeColor="text1"/>
          <w:sz w:val="24"/>
          <w:szCs w:val="24"/>
        </w:rPr>
        <w:t xml:space="preserve">-łątkowa, lub w przypadku budynków piętrowych </w:t>
      </w:r>
      <w:proofErr w:type="spellStart"/>
      <w:r w:rsidRPr="009E1730">
        <w:rPr>
          <w:rFonts w:ascii="Garamond" w:hAnsi="Garamond"/>
          <w:color w:val="000000" w:themeColor="text1"/>
          <w:sz w:val="24"/>
          <w:szCs w:val="24"/>
        </w:rPr>
        <w:t>sumikowołątkowa</w:t>
      </w:r>
      <w:proofErr w:type="spellEnd"/>
      <w:r w:rsidRPr="009E1730">
        <w:rPr>
          <w:rFonts w:ascii="Garamond" w:hAnsi="Garamond"/>
          <w:color w:val="000000" w:themeColor="text1"/>
          <w:sz w:val="24"/>
          <w:szCs w:val="24"/>
        </w:rPr>
        <w:t xml:space="preserve"> na pierwszej kondygnacji i szkieletowa na drugiej. </w:t>
      </w:r>
    </w:p>
    <w:p w14:paraId="1443D859" w14:textId="77777777" w:rsidR="008233D5" w:rsidRPr="009E1730" w:rsidRDefault="008233D5" w:rsidP="005D430A">
      <w:pPr>
        <w:numPr>
          <w:ilvl w:val="0"/>
          <w:numId w:val="3"/>
        </w:numPr>
        <w:spacing w:line="276" w:lineRule="auto"/>
        <w:ind w:hanging="118"/>
        <w:rPr>
          <w:rFonts w:ascii="Garamond" w:hAnsi="Garamond"/>
          <w:color w:val="000000" w:themeColor="text1"/>
          <w:sz w:val="24"/>
          <w:szCs w:val="24"/>
        </w:rPr>
      </w:pPr>
      <w:r w:rsidRPr="009E1730">
        <w:rPr>
          <w:rFonts w:ascii="Garamond" w:hAnsi="Garamond"/>
          <w:color w:val="000000" w:themeColor="text1"/>
          <w:sz w:val="24"/>
          <w:szCs w:val="24"/>
        </w:rPr>
        <w:t xml:space="preserve">Rozbudowa uskokowa jętki w przypadku szerzej rozstawionych płatwi. </w:t>
      </w:r>
    </w:p>
    <w:p w14:paraId="09CF7B11" w14:textId="77777777" w:rsidR="008233D5" w:rsidRPr="008233D5" w:rsidRDefault="008233D5" w:rsidP="005D430A">
      <w:pPr>
        <w:spacing w:line="276" w:lineRule="auto"/>
        <w:rPr>
          <w:rFonts w:ascii="Garamond" w:hAnsi="Garamond"/>
          <w:sz w:val="24"/>
          <w:szCs w:val="24"/>
        </w:rPr>
      </w:pPr>
      <w:r w:rsidRPr="008233D5">
        <w:rPr>
          <w:rFonts w:ascii="Garamond" w:eastAsia="Calibri" w:hAnsi="Garamond" w:cs="Calibri"/>
          <w:b/>
          <w:sz w:val="24"/>
          <w:szCs w:val="24"/>
        </w:rPr>
        <w:t xml:space="preserve"> </w:t>
      </w:r>
    </w:p>
    <w:p w14:paraId="67E33B0F" w14:textId="77777777" w:rsidR="008233D5" w:rsidRPr="008233D5" w:rsidRDefault="008233D5" w:rsidP="00B7007E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8233D5" w:rsidRPr="0082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131"/>
    <w:multiLevelType w:val="hybridMultilevel"/>
    <w:tmpl w:val="4FF4CA70"/>
    <w:lvl w:ilvl="0" w:tplc="DD5CCF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DCD6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BC2F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F439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24DE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70AC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52A7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7212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1422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B24EA"/>
    <w:multiLevelType w:val="hybridMultilevel"/>
    <w:tmpl w:val="CD18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11EA"/>
    <w:multiLevelType w:val="hybridMultilevel"/>
    <w:tmpl w:val="D280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704E"/>
    <w:multiLevelType w:val="hybridMultilevel"/>
    <w:tmpl w:val="5518EE84"/>
    <w:lvl w:ilvl="0" w:tplc="026889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085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A87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08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6D3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AC5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E84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85A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21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4194C"/>
    <w:multiLevelType w:val="hybridMultilevel"/>
    <w:tmpl w:val="3E48AF42"/>
    <w:lvl w:ilvl="0" w:tplc="1F6819D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3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A12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6A9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46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04F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D1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CC0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0C0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32708">
    <w:abstractNumId w:val="1"/>
  </w:num>
  <w:num w:numId="2" w16cid:durableId="1964265904">
    <w:abstractNumId w:val="4"/>
  </w:num>
  <w:num w:numId="3" w16cid:durableId="389040634">
    <w:abstractNumId w:val="3"/>
  </w:num>
  <w:num w:numId="4" w16cid:durableId="1233662516">
    <w:abstractNumId w:val="0"/>
  </w:num>
  <w:num w:numId="5" w16cid:durableId="109000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C3"/>
    <w:rsid w:val="000654AD"/>
    <w:rsid w:val="00154528"/>
    <w:rsid w:val="001673DF"/>
    <w:rsid w:val="003D3FE9"/>
    <w:rsid w:val="004C1806"/>
    <w:rsid w:val="004E2311"/>
    <w:rsid w:val="0052559E"/>
    <w:rsid w:val="005D430A"/>
    <w:rsid w:val="006B591D"/>
    <w:rsid w:val="007A5231"/>
    <w:rsid w:val="007E24C6"/>
    <w:rsid w:val="008233D5"/>
    <w:rsid w:val="008C1EFF"/>
    <w:rsid w:val="00903E9D"/>
    <w:rsid w:val="009E1730"/>
    <w:rsid w:val="00B7007E"/>
    <w:rsid w:val="00B736C3"/>
    <w:rsid w:val="00BF513D"/>
    <w:rsid w:val="00D368BC"/>
    <w:rsid w:val="00D55B45"/>
    <w:rsid w:val="00DA3E29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097"/>
  <w15:chartTrackingRefBased/>
  <w15:docId w15:val="{3EE86118-59C0-4BEC-8EE8-E74A430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 Jarzębiński</dc:creator>
  <cp:keywords/>
  <dc:description/>
  <cp:lastModifiedBy>Waclaw Jarzębiński</cp:lastModifiedBy>
  <cp:revision>6</cp:revision>
  <dcterms:created xsi:type="dcterms:W3CDTF">2023-03-27T04:23:00Z</dcterms:created>
  <dcterms:modified xsi:type="dcterms:W3CDTF">2023-06-26T12:19:00Z</dcterms:modified>
</cp:coreProperties>
</file>