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C2" w:rsidRPr="00EF3BC9" w:rsidRDefault="003723C2" w:rsidP="003723C2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PREZYDENT  MIASTA  OTWOCKA  OGŁASZA I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</w:t>
      </w:r>
      <w:r w:rsidRPr="00EF3BC9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USTNY  PRZETARG NIEOGRANICZONY  NA  SPRZEDAŻ  NIERUCHOMOŚCI GRUNTOWEJ STANOWIĄCEJ WŁASNOŚĆ GMINY  OTWOCK</w:t>
      </w:r>
    </w:p>
    <w:p w:rsidR="003723C2" w:rsidRPr="00EF3BC9" w:rsidRDefault="003723C2" w:rsidP="003723C2">
      <w:pPr>
        <w:widowControl w:val="0"/>
        <w:autoSpaceDE w:val="0"/>
        <w:autoSpaceDN w:val="0"/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Na podstawie art. 37, art. 38 ust. 1, art. 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40,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art. 41 i art. 70 ustawy z dnia 21.08.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1997 r.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o gospodarce nieruchomościami (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pl-PL"/>
        </w:rPr>
        <w:t>t.j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Dz. U. z 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2021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poz.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1899 ze zm.),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r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ozporządzenia Rady Ministrów z dnia 14 września 2004 r. w sprawie określenia szczegółowych zasad i trybu przeprowadzania przetargów na zbycie nieruchomości stanowiących własność Skarbu Państwa lub własność gminy (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pl-PL"/>
        </w:rPr>
        <w:t>t.j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Dz. U.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 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2014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r.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poz. 1490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ze zm.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) oraz Uchwały Rady Miasta Nr XLIX/52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5/21 z dnia 28.06.2021 r.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sprawie wyrażenia zgody na sprzedaż nieruchomości gruntowych, stanowiących własność gminy O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twock, Prezydent Miasta Otwocka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ogłasza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II 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ustny przetarg nieograniczony na sprzedaż niżej opisan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ej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nieruchomości.</w:t>
      </w:r>
    </w:p>
    <w:tbl>
      <w:tblPr>
        <w:tblW w:w="8994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1701"/>
        <w:gridCol w:w="992"/>
        <w:gridCol w:w="1984"/>
        <w:gridCol w:w="1276"/>
        <w:gridCol w:w="1134"/>
        <w:gridCol w:w="992"/>
      </w:tblGrid>
      <w:tr w:rsidR="003723C2" w:rsidRPr="00EF3BC9" w:rsidTr="009C565E">
        <w:trPr>
          <w:cantSplit/>
          <w:trHeight w:val="499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C2" w:rsidRPr="00EF3BC9" w:rsidRDefault="003723C2" w:rsidP="009C565E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Nr działek</w:t>
            </w:r>
          </w:p>
          <w:p w:rsidR="003723C2" w:rsidRPr="00EF3BC9" w:rsidRDefault="003723C2" w:rsidP="009C56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w </w:t>
            </w:r>
            <w:proofErr w:type="spellStart"/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obr</w:t>
            </w:r>
            <w:proofErr w:type="spellEnd"/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. 130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C2" w:rsidRPr="00EF3BC9" w:rsidRDefault="003723C2" w:rsidP="009C56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Położenie nieruchomości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C2" w:rsidRPr="00EF3BC9" w:rsidRDefault="003723C2" w:rsidP="009C565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Pow.  </w:t>
            </w:r>
          </w:p>
          <w:p w:rsidR="003723C2" w:rsidRPr="00EF3BC9" w:rsidRDefault="003723C2" w:rsidP="009C565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nieruchomości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C2" w:rsidRPr="00EF3BC9" w:rsidRDefault="003723C2" w:rsidP="009C565E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 Nr ksiąg wieczystych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C2" w:rsidRPr="00EF3BC9" w:rsidRDefault="003723C2" w:rsidP="009C56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Cena wywoławcza</w:t>
            </w:r>
          </w:p>
          <w:p w:rsidR="003723C2" w:rsidRPr="00EF3BC9" w:rsidRDefault="003723C2" w:rsidP="009C56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C2" w:rsidRPr="00EF3BC9" w:rsidRDefault="003723C2" w:rsidP="009C56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3C2" w:rsidRPr="00EF3BC9" w:rsidRDefault="003723C2" w:rsidP="009C56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proofErr w:type="spellStart"/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Postąpie</w:t>
            </w:r>
            <w:proofErr w:type="spellEnd"/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-nie </w:t>
            </w:r>
          </w:p>
          <w:p w:rsidR="003723C2" w:rsidRPr="00EF3BC9" w:rsidRDefault="003723C2" w:rsidP="009C56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3723C2" w:rsidRPr="00EF3BC9" w:rsidTr="009C565E">
        <w:trPr>
          <w:cantSplit/>
          <w:trHeight w:val="1639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3C2" w:rsidRPr="00EF3BC9" w:rsidRDefault="003723C2" w:rsidP="009C56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3723C2" w:rsidRPr="00EF3BC9" w:rsidRDefault="003723C2" w:rsidP="009C565E">
            <w:pPr>
              <w:widowControl w:val="0"/>
              <w:tabs>
                <w:tab w:val="left" w:pos="2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    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3C2" w:rsidRPr="00EF3BC9" w:rsidRDefault="003723C2" w:rsidP="009C56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3723C2" w:rsidRPr="00EF3BC9" w:rsidRDefault="003723C2" w:rsidP="009C56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Otwock</w:t>
            </w:r>
          </w:p>
          <w:p w:rsidR="003723C2" w:rsidRPr="00EF3BC9" w:rsidRDefault="003723C2" w:rsidP="009C56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ul . Warsztatowa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3C2" w:rsidRPr="00EF3BC9" w:rsidRDefault="003723C2" w:rsidP="009C565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3723C2" w:rsidRPr="00EF3BC9" w:rsidRDefault="003723C2" w:rsidP="009C565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3 127</w:t>
            </w:r>
            <w:r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m</w:t>
            </w:r>
            <w:r w:rsidRPr="00EF3BC9">
              <w:rPr>
                <w:rFonts w:ascii="Times New Roman" w:eastAsia="Times New Roman" w:hAnsi="Times New Roman" w:cs="Times New Roman"/>
                <w:bCs/>
                <w:iCs/>
                <w:vertAlign w:val="superscript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3C2" w:rsidRPr="00EF3BC9" w:rsidRDefault="003723C2" w:rsidP="009C565E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3723C2" w:rsidRPr="00EF3BC9" w:rsidRDefault="003723C2" w:rsidP="009C565E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WA1O/000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41508</w:t>
            </w:r>
            <w:r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6</w:t>
            </w:r>
          </w:p>
          <w:p w:rsidR="003723C2" w:rsidRPr="00EF3BC9" w:rsidRDefault="003723C2" w:rsidP="009C56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3C2" w:rsidRPr="00EF3BC9" w:rsidRDefault="003723C2" w:rsidP="009C56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3723C2" w:rsidRPr="00EF3BC9" w:rsidRDefault="003723C2" w:rsidP="009C56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841 0</w:t>
            </w:r>
            <w:r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00 zł</w:t>
            </w:r>
          </w:p>
          <w:p w:rsidR="003723C2" w:rsidRPr="00EF3BC9" w:rsidRDefault="003723C2" w:rsidP="009C5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3C2" w:rsidRPr="00EF3BC9" w:rsidRDefault="003723C2" w:rsidP="009C56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3723C2" w:rsidRPr="00EF3BC9" w:rsidRDefault="003723C2" w:rsidP="009C56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126 </w:t>
            </w:r>
            <w:r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000 zł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3C2" w:rsidRPr="00EF3BC9" w:rsidRDefault="003723C2" w:rsidP="009C56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3723C2" w:rsidRPr="00EF3BC9" w:rsidRDefault="003723C2" w:rsidP="009C56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8 410</w:t>
            </w:r>
            <w:r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zł</w:t>
            </w:r>
          </w:p>
        </w:tc>
      </w:tr>
    </w:tbl>
    <w:p w:rsidR="003723C2" w:rsidRPr="00EF3BC9" w:rsidRDefault="003723C2" w:rsidP="003723C2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Garamond" w:eastAsia="Times New Roman" w:hAnsi="Garamond" w:cs="Times New Roman"/>
          <w:i/>
          <w:iCs/>
          <w:sz w:val="20"/>
          <w:szCs w:val="20"/>
          <w:lang w:eastAsia="pl-PL"/>
        </w:rPr>
      </w:pPr>
      <w:r w:rsidRPr="00EF3BC9">
        <w:rPr>
          <w:rFonts w:ascii="Garamond" w:eastAsia="Times New Roman" w:hAnsi="Garamond" w:cs="Times New Roman"/>
          <w:i/>
          <w:iCs/>
          <w:lang w:eastAsia="pl-PL"/>
        </w:rPr>
        <w:t xml:space="preserve"> </w:t>
      </w:r>
      <w:r w:rsidRPr="00EF3BC9">
        <w:rPr>
          <w:rFonts w:ascii="Garamond" w:eastAsia="Times New Roman" w:hAnsi="Garamond" w:cs="Times New Roman"/>
          <w:i/>
          <w:iCs/>
          <w:sz w:val="20"/>
          <w:szCs w:val="20"/>
          <w:lang w:eastAsia="pl-PL"/>
        </w:rPr>
        <w:t xml:space="preserve">*/ cena zawiera podatek VAT  w wysokości 23%.  </w:t>
      </w:r>
    </w:p>
    <w:p w:rsidR="003723C2" w:rsidRPr="00EF3BC9" w:rsidRDefault="003723C2" w:rsidP="003723C2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Southern PL"/>
          <w:b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>Przetarg odbędzie się w dniu 2</w:t>
      </w:r>
      <w:r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>7</w:t>
      </w:r>
      <w:r w:rsidRPr="00EF3BC9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 xml:space="preserve">maja 2022 r. </w:t>
      </w:r>
      <w:r w:rsidRPr="00EF3BC9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>o godz. 11.</w:t>
      </w:r>
      <w:r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>0</w:t>
      </w:r>
      <w:r w:rsidRPr="00EF3BC9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 xml:space="preserve">0 </w:t>
      </w:r>
      <w:r w:rsidRPr="00EF3BC9">
        <w:rPr>
          <w:rFonts w:ascii="Garamond" w:eastAsia="Times New Roman" w:hAnsi="Garamond" w:cs="Southern PL"/>
          <w:b/>
          <w:bCs/>
          <w:sz w:val="24"/>
          <w:szCs w:val="24"/>
          <w:lang w:eastAsia="pl-PL"/>
        </w:rPr>
        <w:t>w siedzibie Urzędu Miasta Otwocka,  ul. Armii Krajowej 5 bud. “A”, aula.</w:t>
      </w:r>
    </w:p>
    <w:p w:rsidR="003723C2" w:rsidRPr="00EF3BC9" w:rsidRDefault="003723C2" w:rsidP="003723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Warunkiem uczestnictwa w przetargu jest wpłacenie w</w:t>
      </w:r>
      <w:r w:rsidRPr="00EF3BC9">
        <w:rPr>
          <w:rFonts w:ascii="Garamond" w:eastAsia="Times New Roman" w:hAnsi="Garamond" w:cs="Times New Roman"/>
          <w:bCs/>
          <w:iCs/>
          <w:sz w:val="24"/>
          <w:szCs w:val="24"/>
          <w:lang w:eastAsia="pl-PL"/>
        </w:rPr>
        <w:t xml:space="preserve">adium w nieprzekraczalnym terminie 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do dnia </w:t>
      </w:r>
      <w:r w:rsidRPr="008A0B7D">
        <w:rPr>
          <w:rFonts w:ascii="Garamond" w:eastAsia="Times New Roman" w:hAnsi="Garamond" w:cs="Times New Roman"/>
          <w:b/>
          <w:sz w:val="24"/>
          <w:szCs w:val="24"/>
          <w:lang w:eastAsia="pl-PL"/>
        </w:rPr>
        <w:t>23</w:t>
      </w:r>
      <w:r w:rsidRPr="00175F71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maja </w:t>
      </w:r>
      <w:r w:rsidRPr="00EF3BC9">
        <w:rPr>
          <w:rFonts w:ascii="Garamond" w:eastAsia="Times New Roman" w:hAnsi="Garamond" w:cs="Times New Roman"/>
          <w:b/>
          <w:sz w:val="24"/>
          <w:szCs w:val="24"/>
          <w:lang w:eastAsia="pl-PL"/>
        </w:rPr>
        <w:t>2022 r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. na konto Urzędu Miasta Bank Spółdzielczy w Otwocku Nr  51800100052001000798750018 lub w kasie Urzędu. Za dokonanie wpłaty uważa się dzień wpływu środków pieniężnych na rachunek bankowy tutejszego Urzędu.</w:t>
      </w:r>
    </w:p>
    <w:p w:rsidR="003723C2" w:rsidRPr="00EF3BC9" w:rsidRDefault="003723C2" w:rsidP="003723C2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Wadium wpłacone przez osobę, która wygra przetarg zostaje zaliczone na poczet ceny nabycia. Wadium przepada, jeżeli wyłoniony w przetargu nabywca uchyli się od zawarcia umowy przeniesienia własności. Oferentom, którzy przetargu nie wygrali, wadium zwraca się niezwłocznie po odwołaniu lub zamknięciu przetargu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:rsidR="003723C2" w:rsidRPr="00EF3BC9" w:rsidRDefault="003723C2" w:rsidP="003723C2">
      <w:pPr>
        <w:widowControl w:val="0"/>
        <w:numPr>
          <w:ilvl w:val="12"/>
          <w:numId w:val="0"/>
        </w:numPr>
        <w:autoSpaceDE w:val="0"/>
        <w:autoSpaceDN w:val="0"/>
        <w:spacing w:after="12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Termin do złożenia wniosku przez osoby, którym przysługiwało pierwszeństwo w nabyciu nieruchomości na podstawie art. 34 us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t. 1 pkt 1 i 2 ustawy z dnia 21.08.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1997 r. o gospodarce nieruchomościami upłynął w dniu </w:t>
      </w:r>
      <w:r w:rsidRPr="00EF3BC9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30 sierpnia 2021 r</w:t>
      </w:r>
      <w:r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oku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. </w:t>
      </w:r>
    </w:p>
    <w:p w:rsidR="003723C2" w:rsidRPr="00EF3BC9" w:rsidRDefault="003723C2" w:rsidP="003723C2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Przedmiotem sprzedaży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jest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niezabudowan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a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nieruchomoś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ć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gruntow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a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, o kształcie zbliżonym do prostokąta, usytuowan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a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znacznie poniżej poziomu  otaczającego gruntu, położon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a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na terenie nie objętym miejscowym planem zagospodarowania przestrzennego.</w:t>
      </w:r>
    </w:p>
    <w:p w:rsidR="003723C2" w:rsidRPr="00EF3BC9" w:rsidRDefault="003723C2" w:rsidP="003723C2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Dział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ka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ewidencyjn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a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nr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9 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z </w:t>
      </w:r>
      <w:proofErr w:type="spellStart"/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obr</w:t>
      </w:r>
      <w:proofErr w:type="spellEnd"/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. 130, zgodnie ze studium uwarunkowań i kierunków zagospodarowania m. Otwocka, położona jest na terenie oznaczonym symbolem US/ZR-7 – tereny usług sportu i rekreacji. </w:t>
      </w:r>
    </w:p>
    <w:p w:rsidR="003723C2" w:rsidRPr="00EF3BC9" w:rsidRDefault="003723C2" w:rsidP="003723C2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Przedmiotow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a działka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, wg rejestr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ów ewidencji gruntów posiada mię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dzy innymi użytki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gruntowe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 „R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– grunty orne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”. Sprzedaż nieruchomości nastąpi pod warunkiem, że Krajowy Ośrodek Wsparcia Rolnictwa nie skorzysta z prawa pierwokupu, przysługującego mu na podstawie ustawy z dnia 11.04.2003 r. o kształtowaniu ustroju rolnego.    </w:t>
      </w:r>
    </w:p>
    <w:p w:rsidR="003723C2" w:rsidRPr="00EC5B47" w:rsidRDefault="003723C2" w:rsidP="003723C2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C5B47">
        <w:rPr>
          <w:rFonts w:ascii="Garamond" w:eastAsia="Times New Roman" w:hAnsi="Garamond" w:cs="Times New Roman"/>
          <w:bCs/>
          <w:sz w:val="24"/>
          <w:szCs w:val="24"/>
          <w:lang w:eastAsia="pl-PL"/>
        </w:rPr>
        <w:t>Dostęp do drogi publicznej ul. Warsztatowej, zostanie zapewniony poprzez obciążenie  nieruchomości gruntowej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(stanowiącej własność Gminy Otwock)</w:t>
      </w:r>
      <w:r w:rsidRPr="00EC5B47">
        <w:rPr>
          <w:rFonts w:ascii="Garamond" w:eastAsia="Times New Roman" w:hAnsi="Garamond" w:cs="Times New Roman"/>
          <w:bCs/>
          <w:sz w:val="24"/>
          <w:szCs w:val="24"/>
          <w:lang w:eastAsia="pl-PL"/>
        </w:rPr>
        <w:t>, oznaczonej jako działka ewidencyjna nr 55/4 z obr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ębu 130, położonej w Otwocku, </w:t>
      </w:r>
      <w:r w:rsidRPr="00EC5B4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służebnością gruntową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prawa przechodu i przejazdu </w:t>
      </w:r>
      <w:r w:rsidRPr="00EC5B47">
        <w:rPr>
          <w:rFonts w:ascii="Garamond" w:eastAsia="Times New Roman" w:hAnsi="Garamond" w:cs="Times New Roman"/>
          <w:bCs/>
          <w:sz w:val="24"/>
          <w:szCs w:val="24"/>
          <w:lang w:eastAsia="pl-PL"/>
        </w:rPr>
        <w:t>na rzecz każdoczesnych właścicieli nieruchomości gruntowej, oznaczonej jako działka ew. nr 9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z </w:t>
      </w:r>
      <w:proofErr w:type="spellStart"/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obr</w:t>
      </w:r>
      <w:proofErr w:type="spellEnd"/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. 13</w:t>
      </w:r>
      <w:r w:rsidRPr="00EC5B4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. Służebność będzie miała charakter czasowy do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zakończenia realizacji inwestycji polegającej na budowie </w:t>
      </w:r>
      <w:r w:rsidRPr="00EC5B4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drogi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m. in. </w:t>
      </w:r>
      <w:r w:rsidRPr="00EC5B4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na działkach ewidencyjnych  nr 51 i nr 52 </w:t>
      </w:r>
      <w:r w:rsidRPr="00EC5B47">
        <w:rPr>
          <w:rFonts w:ascii="Garamond" w:eastAsia="Times New Roman" w:hAnsi="Garamond" w:cs="Times New Roman"/>
          <w:bCs/>
          <w:sz w:val="24"/>
          <w:szCs w:val="24"/>
          <w:lang w:eastAsia="pl-PL"/>
        </w:rPr>
        <w:lastRenderedPageBreak/>
        <w:t xml:space="preserve">z </w:t>
      </w:r>
      <w:proofErr w:type="spellStart"/>
      <w:r w:rsidRPr="00EC5B47">
        <w:rPr>
          <w:rFonts w:ascii="Garamond" w:eastAsia="Times New Roman" w:hAnsi="Garamond" w:cs="Times New Roman"/>
          <w:bCs/>
          <w:sz w:val="24"/>
          <w:szCs w:val="24"/>
          <w:lang w:eastAsia="pl-PL"/>
        </w:rPr>
        <w:t>obr</w:t>
      </w:r>
      <w:proofErr w:type="spellEnd"/>
      <w:r w:rsidRPr="00EC5B4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. 129.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Ww. p</w:t>
      </w:r>
      <w:r w:rsidRPr="00EC5B4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rawo służebności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gruntowej</w:t>
      </w:r>
      <w:r w:rsidRPr="00EC5B4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zostanie wpisane do księgi wieczystej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                                       nr WA1O/00034749/5, stanowiącej m. in. dz. ew. nr 55/4.</w:t>
      </w:r>
    </w:p>
    <w:p w:rsidR="003723C2" w:rsidRPr="00EF3BC9" w:rsidRDefault="003723C2" w:rsidP="003723C2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Obsługa komunikacyjna zbywanego terenu musi być uzgodniona z zarządcą drogi, który wydaje zgodę na budowę zjazdu w drodze decyzji administracyjnej, zgodnie z art. 2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9 ust. 1 ustawy z dnia 21.03.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1985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r.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o drogach publicznych. Budowę zjazdu na własny koszt, bez prawa roszczeń do sprzedającego wykonuje nabywca nieruchomości.  </w:t>
      </w:r>
    </w:p>
    <w:p w:rsidR="003723C2" w:rsidRPr="00EF3BC9" w:rsidRDefault="003723C2" w:rsidP="003723C2">
      <w:pPr>
        <w:widowControl w:val="0"/>
        <w:numPr>
          <w:ilvl w:val="12"/>
          <w:numId w:val="0"/>
        </w:numPr>
        <w:autoSpaceDE w:val="0"/>
        <w:autoSpaceDN w:val="0"/>
        <w:spacing w:after="12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Ewentualne usunięcie przez przyszłego nabywcę drzew znajdujących się na nieruchomości, może nastąpić zgodni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e z przepisami ustawy z dnia 16.04.2004 r. o 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ochronie przyrody. </w:t>
      </w:r>
    </w:p>
    <w:p w:rsidR="003723C2" w:rsidRPr="00EF3BC9" w:rsidRDefault="003723C2" w:rsidP="003723C2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Niezależnie od podanych informacji, nabywca odpowiada za samodzielne zapoznanie się ze stanem prawnym i faktycznym nieruchomości oraz jej aktualnym sposobem zagospodarowania, jej parametrami oraz możliwością zagospodarowania. Rozpoznanie wszystkich warunków fizycznych i prawnych niezbędnych do realizacji planowanej inwestycji, leży w całości po stronie nabywcy           i stanowi obszar jego ryzyka.</w:t>
      </w:r>
    </w:p>
    <w:p w:rsidR="003723C2" w:rsidRPr="00EF3BC9" w:rsidRDefault="003723C2" w:rsidP="003723C2">
      <w:pPr>
        <w:widowControl w:val="0"/>
        <w:numPr>
          <w:ilvl w:val="12"/>
          <w:numId w:val="0"/>
        </w:numPr>
        <w:autoSpaceDE w:val="0"/>
        <w:autoSpaceDN w:val="0"/>
        <w:spacing w:after="12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Sprzedający nie odpowiada za wady ukryte zbywanej nieruchomości, w tym także za nieujawniony w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powiatowym z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asobie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g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eodezyjnym i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k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artograficznym przebieg podziemnych mediów. </w:t>
      </w:r>
    </w:p>
    <w:p w:rsidR="003723C2" w:rsidRPr="00EF3BC9" w:rsidRDefault="003723C2" w:rsidP="003723C2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Nabywca przejmuje nieruchomości w stanie istniejącym.</w:t>
      </w:r>
    </w:p>
    <w:p w:rsidR="003723C2" w:rsidRPr="00EF3BC9" w:rsidRDefault="003723C2" w:rsidP="003723C2">
      <w:pPr>
        <w:widowControl w:val="0"/>
        <w:autoSpaceDE w:val="0"/>
        <w:autoSpaceDN w:val="0"/>
        <w:spacing w:before="120"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W przetargu mogą wziąć udział osoby fizyczne i prawne.</w:t>
      </w:r>
    </w:p>
    <w:p w:rsidR="003723C2" w:rsidRPr="00EF3BC9" w:rsidRDefault="003723C2" w:rsidP="003723C2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Uczestnicy przetargu zobowiązani są przedstawić komisji przetargowej dokumenty umożliwiające określenie tożsamości  oraz zdolności do uczestnictwa w przetargu a w szczególności:</w:t>
      </w:r>
    </w:p>
    <w:p w:rsidR="003723C2" w:rsidRPr="00EF3BC9" w:rsidRDefault="003723C2" w:rsidP="003723C2">
      <w:pPr>
        <w:widowControl w:val="0"/>
        <w:numPr>
          <w:ilvl w:val="0"/>
          <w:numId w:val="1"/>
        </w:numPr>
        <w:tabs>
          <w:tab w:val="clear" w:pos="360"/>
          <w:tab w:val="num" w:pos="142"/>
        </w:tabs>
        <w:autoSpaceDE w:val="0"/>
        <w:autoSpaceDN w:val="0"/>
        <w:spacing w:after="0" w:line="240" w:lineRule="auto"/>
        <w:ind w:left="142" w:hanging="142"/>
        <w:jc w:val="both"/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 xml:space="preserve">podmiotów innych niż osoby fizyczne 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konieczne jest przedłożenie aktualnego dokumentu,              z którego wynika upoważnienie do reprezentowania tego podmiotu (wydruk z Centralnej Informacji Krajowego Rejestru Sądowego lub inny dokument potwierdzający formę prowadzenia działalności i sposobu reprezentacji uczestnika przetargu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)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, a gdy działa pełnomocnik, konieczne jest przedłożenie pełnomocnictwa w formie aktu notarialnego;</w:t>
      </w:r>
    </w:p>
    <w:p w:rsidR="003723C2" w:rsidRPr="00EF3BC9" w:rsidRDefault="003723C2" w:rsidP="003723C2">
      <w:pPr>
        <w:widowControl w:val="0"/>
        <w:numPr>
          <w:ilvl w:val="0"/>
          <w:numId w:val="1"/>
        </w:numPr>
        <w:tabs>
          <w:tab w:val="clear" w:pos="360"/>
          <w:tab w:val="num" w:pos="142"/>
        </w:tabs>
        <w:autoSpaceDE w:val="0"/>
        <w:autoSpaceDN w:val="0"/>
        <w:spacing w:after="0" w:line="240" w:lineRule="auto"/>
        <w:ind w:left="142" w:hanging="142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małżonków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do dokonywania czynności przetargowych konieczna jest obecność obojga małżonków lub jednego z nich ze stosownym pełnomocnictwem (oryginał) drugiego małżonka, zawierającym zgodę na uczestnictwo w przetargu w celu odpłatnego nabycia nieruchomości – dotyczy również osób fizycznych prowadzących działalność gospodarczą (konieczne przedłożenie aktualnego wydruku z Centralnej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E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widencji i Informacji o Działalności Gospodarczej); </w:t>
      </w:r>
    </w:p>
    <w:p w:rsidR="003723C2" w:rsidRPr="00EF3BC9" w:rsidRDefault="003723C2" w:rsidP="003723C2">
      <w:pPr>
        <w:widowControl w:val="0"/>
        <w:numPr>
          <w:ilvl w:val="0"/>
          <w:numId w:val="1"/>
        </w:numPr>
        <w:tabs>
          <w:tab w:val="clear" w:pos="360"/>
          <w:tab w:val="num" w:pos="142"/>
        </w:tabs>
        <w:autoSpaceDE w:val="0"/>
        <w:autoSpaceDN w:val="0"/>
        <w:spacing w:after="0" w:line="240" w:lineRule="auto"/>
        <w:ind w:left="142" w:hanging="142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pełnomocników osób fizycznych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poza przypadkami wyżej wskazanymi, konieczne jest przedłożenie pełnomocnictwa w formie aktu notarialnego;</w:t>
      </w:r>
    </w:p>
    <w:p w:rsidR="003723C2" w:rsidRPr="00EF3BC9" w:rsidRDefault="003723C2" w:rsidP="003723C2">
      <w:pPr>
        <w:widowControl w:val="0"/>
        <w:numPr>
          <w:ilvl w:val="0"/>
          <w:numId w:val="1"/>
        </w:numPr>
        <w:tabs>
          <w:tab w:val="clear" w:pos="360"/>
          <w:tab w:val="num" w:pos="142"/>
        </w:tabs>
        <w:autoSpaceDE w:val="0"/>
        <w:autoSpaceDN w:val="0"/>
        <w:spacing w:after="120" w:line="240" w:lineRule="auto"/>
        <w:ind w:left="142" w:hanging="142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cudzoziemiec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(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w rozumieniu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art. 1 ust. 2 ustawy z dnia 24.03.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1920 r. o nabywaniu nieruchomości przez cudzoziemców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( </w:t>
      </w:r>
      <w:proofErr w:type="spellStart"/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t.j</w:t>
      </w:r>
      <w:proofErr w:type="spellEnd"/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. Dz. U z 2017 r. poz. 2278 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ze zm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.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) – ważny dokument potwierdzający tożsamość oraz zezwolenie na nabycie nieruchomości wydane przez ministra właściwego do spraw wewnętrznych – w przypadku, gdy jest wymagane. 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Nabywca nieruchomości we własnym zakresie ustala, czy nabycie nieruchomości będącej przedmiotem przetargu wymaga takiego zezwolenia.</w:t>
      </w:r>
    </w:p>
    <w:p w:rsidR="003723C2" w:rsidRPr="00EF3BC9" w:rsidRDefault="003723C2" w:rsidP="003723C2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Nabywca nieruchomości wyłoniony w drodze przetargu ponosi koszty notarialne i sądowe związane z przeniesieniem prawa własności nieruchomości.</w:t>
      </w:r>
    </w:p>
    <w:p w:rsidR="003723C2" w:rsidRPr="00EF3BC9" w:rsidRDefault="003723C2" w:rsidP="003723C2">
      <w:pPr>
        <w:widowControl w:val="0"/>
        <w:autoSpaceDE w:val="0"/>
        <w:autoSpaceDN w:val="0"/>
        <w:spacing w:after="0" w:line="240" w:lineRule="auto"/>
        <w:ind w:firstLine="1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Organizator przetargu zawiadamia nabywcę o miejscu i terminie zawarcia umowy sprzedaży, najpóźniej w ciągu 21 dni od daty rozstrzygnięcia przetargu. Wyznaczony termin nie może być krótszy niż 7 dni od daty doręczenia zawiadomienia.</w:t>
      </w:r>
    </w:p>
    <w:p w:rsidR="003723C2" w:rsidRPr="00EF3BC9" w:rsidRDefault="003723C2" w:rsidP="003723C2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Cena nieruchomości sprzedawanych w drodze przetargu podlega zapłacie nie później niż do dnia zawarcia umowy przenoszącej własność. W dniu podpisania umowy notarialnej środki finansowe winny znajdować się na rachunku bankowym Urzędu Miasta Otwocka.</w:t>
      </w:r>
      <w:r w:rsidRPr="00EF3B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Pr="00EF3B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pl-PL"/>
        </w:rPr>
        <w:t xml:space="preserve"> </w:t>
      </w:r>
    </w:p>
    <w:p w:rsidR="003723C2" w:rsidRPr="00EF3BC9" w:rsidRDefault="003723C2" w:rsidP="003723C2">
      <w:pPr>
        <w:widowControl w:val="0"/>
        <w:autoSpaceDE w:val="0"/>
        <w:autoSpaceDN w:val="0"/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Zastrzega się prawo odwołania przetargu lub jego unieważnienia w przypadku zaistnienia uzasadnionych powodów. Informacja o odwołaniu przetargu zostanie ogłoszona w formie właściwej dla ogłoszenia o przetargu.</w:t>
      </w:r>
    </w:p>
    <w:p w:rsidR="003723C2" w:rsidRPr="00EF3BC9" w:rsidRDefault="003723C2" w:rsidP="003723C2">
      <w:pPr>
        <w:widowControl w:val="0"/>
        <w:autoSpaceDE w:val="0"/>
        <w:autoSpaceDN w:val="0"/>
        <w:spacing w:after="120" w:line="240" w:lineRule="auto"/>
        <w:jc w:val="both"/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Niniejsze ogłoszenie stanowi zaproszenie osób zainteresowanych do wzięcia udziału w przetargu.</w:t>
      </w:r>
    </w:p>
    <w:p w:rsidR="003723C2" w:rsidRPr="00EF3BC9" w:rsidRDefault="003723C2" w:rsidP="003723C2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>Dodatkowe informacje na temat warunków przetargu oraz materiały przetargowe, można uzyskać w Wydziale Nieruchomości, bud. “B”, II piętro, pokój nr 44, tel. 779-20-01 w. 178.</w:t>
      </w:r>
    </w:p>
    <w:p w:rsidR="003723C2" w:rsidRPr="00EF3BC9" w:rsidRDefault="003723C2" w:rsidP="003723C2">
      <w:pPr>
        <w:widowControl w:val="0"/>
        <w:numPr>
          <w:ilvl w:val="12"/>
          <w:numId w:val="0"/>
        </w:numPr>
        <w:autoSpaceDE w:val="0"/>
        <w:autoSpaceDN w:val="0"/>
        <w:spacing w:after="120" w:line="240" w:lineRule="auto"/>
        <w:jc w:val="both"/>
        <w:rPr>
          <w:rFonts w:ascii="Garamond" w:eastAsiaTheme="majorEastAsia" w:hAnsi="Garamond" w:cs="Times New Roman"/>
          <w:b/>
          <w:bCs/>
          <w:iCs/>
          <w:color w:val="0000FF"/>
          <w:sz w:val="24"/>
          <w:szCs w:val="24"/>
          <w:u w:val="single"/>
          <w:lang w:eastAsia="pl-PL"/>
        </w:rPr>
      </w:pPr>
      <w:r w:rsidRPr="00EF3BC9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>Ogłoszenie o przetargu opublikowano na stronie internetowej i w Biuletynie Informacji Publicznej Urzędu Miasta Otwocka</w:t>
      </w:r>
      <w:r w:rsidRPr="00EF3BC9">
        <w:rPr>
          <w:rFonts w:ascii="Garamond" w:eastAsiaTheme="majorEastAsia" w:hAnsi="Garamond" w:cs="Times New Roman"/>
          <w:b/>
          <w:bCs/>
          <w:iCs/>
          <w:color w:val="0000FF"/>
          <w:sz w:val="24"/>
          <w:szCs w:val="24"/>
          <w:u w:val="single"/>
          <w:lang w:eastAsia="pl-PL"/>
        </w:rPr>
        <w:t xml:space="preserve"> </w:t>
      </w:r>
      <w:hyperlink r:id="rId5" w:history="1">
        <w:r w:rsidRPr="00EF3BC9">
          <w:rPr>
            <w:rFonts w:ascii="Garamond" w:eastAsiaTheme="majorEastAsia" w:hAnsi="Garamond" w:cs="Times New Roman"/>
            <w:b/>
            <w:bCs/>
            <w:iCs/>
            <w:color w:val="0000FF"/>
            <w:sz w:val="24"/>
            <w:szCs w:val="24"/>
            <w:u w:val="single"/>
            <w:lang w:eastAsia="pl-PL"/>
          </w:rPr>
          <w:t>www.bip.Otwock.pl</w:t>
        </w:r>
      </w:hyperlink>
      <w:r w:rsidRPr="00EF3BC9">
        <w:rPr>
          <w:rFonts w:ascii="Garamond" w:eastAsiaTheme="majorEastAsia" w:hAnsi="Garamond" w:cs="Times New Roman"/>
          <w:b/>
          <w:bCs/>
          <w:iCs/>
          <w:color w:val="0000FF"/>
          <w:sz w:val="24"/>
          <w:szCs w:val="24"/>
          <w:u w:val="single"/>
          <w:lang w:eastAsia="pl-PL"/>
        </w:rPr>
        <w:t xml:space="preserve">  </w:t>
      </w:r>
      <w:r w:rsidRPr="00EF3BC9">
        <w:rPr>
          <w:rFonts w:ascii="Garamond" w:eastAsiaTheme="majorEastAsia" w:hAnsi="Garamond" w:cs="Times New Roman"/>
          <w:b/>
          <w:bCs/>
          <w:iCs/>
          <w:sz w:val="24"/>
          <w:szCs w:val="24"/>
          <w:u w:val="single"/>
          <w:lang w:eastAsia="pl-PL"/>
        </w:rPr>
        <w:t xml:space="preserve">oraz na </w:t>
      </w:r>
      <w:proofErr w:type="spellStart"/>
      <w:r w:rsidRPr="00EF3BC9">
        <w:rPr>
          <w:rFonts w:ascii="Garamond" w:eastAsiaTheme="majorEastAsia" w:hAnsi="Garamond" w:cs="Times New Roman"/>
          <w:b/>
          <w:bCs/>
          <w:iCs/>
          <w:sz w:val="24"/>
          <w:szCs w:val="24"/>
          <w:u w:val="single"/>
          <w:lang w:eastAsia="pl-PL"/>
        </w:rPr>
        <w:t>facebooku</w:t>
      </w:r>
      <w:proofErr w:type="spellEnd"/>
      <w:r w:rsidRPr="00EF3BC9">
        <w:rPr>
          <w:rFonts w:ascii="Garamond" w:eastAsiaTheme="majorEastAsia" w:hAnsi="Garamond" w:cs="Times New Roman"/>
          <w:b/>
          <w:bCs/>
          <w:iCs/>
          <w:sz w:val="24"/>
          <w:szCs w:val="24"/>
          <w:u w:val="single"/>
          <w:lang w:eastAsia="pl-PL"/>
        </w:rPr>
        <w:t>.</w:t>
      </w:r>
    </w:p>
    <w:p w:rsidR="003723C2" w:rsidRPr="00EF3BC9" w:rsidRDefault="003723C2" w:rsidP="003723C2">
      <w:pPr>
        <w:widowControl w:val="0"/>
        <w:numPr>
          <w:ilvl w:val="12"/>
          <w:numId w:val="0"/>
        </w:numPr>
        <w:autoSpaceDE w:val="0"/>
        <w:autoSpaceDN w:val="0"/>
        <w:spacing w:after="120" w:line="240" w:lineRule="auto"/>
        <w:jc w:val="both"/>
        <w:rPr>
          <w:rFonts w:ascii="Garamond" w:eastAsiaTheme="majorEastAsia" w:hAnsi="Garamond" w:cs="Times New Roman"/>
          <w:bCs/>
          <w:iCs/>
          <w:color w:val="000000" w:themeColor="text1"/>
          <w:sz w:val="24"/>
          <w:szCs w:val="24"/>
          <w:lang w:eastAsia="pl-PL"/>
        </w:rPr>
      </w:pPr>
      <w:r>
        <w:rPr>
          <w:rFonts w:ascii="Garamond" w:eastAsiaTheme="majorEastAsia" w:hAnsi="Garamond" w:cs="Times New Roman"/>
          <w:bCs/>
          <w:iCs/>
          <w:color w:val="000000" w:themeColor="text1"/>
          <w:sz w:val="24"/>
          <w:szCs w:val="24"/>
          <w:lang w:eastAsia="pl-PL"/>
        </w:rPr>
        <w:t>Otwock, 2022.03</w:t>
      </w:r>
      <w:r w:rsidRPr="00EF3BC9">
        <w:rPr>
          <w:rFonts w:ascii="Garamond" w:eastAsiaTheme="majorEastAsia" w:hAnsi="Garamond" w:cs="Times New Roman"/>
          <w:bCs/>
          <w:iCs/>
          <w:color w:val="000000" w:themeColor="text1"/>
          <w:sz w:val="24"/>
          <w:szCs w:val="24"/>
          <w:lang w:eastAsia="pl-PL"/>
        </w:rPr>
        <w:t>.</w:t>
      </w:r>
      <w:r>
        <w:rPr>
          <w:rFonts w:ascii="Garamond" w:eastAsiaTheme="majorEastAsia" w:hAnsi="Garamond" w:cs="Times New Roman"/>
          <w:bCs/>
          <w:iCs/>
          <w:color w:val="000000" w:themeColor="text1"/>
          <w:sz w:val="24"/>
          <w:szCs w:val="24"/>
          <w:lang w:eastAsia="pl-PL"/>
        </w:rPr>
        <w:t>24</w:t>
      </w:r>
    </w:p>
    <w:p w:rsidR="00CF604E" w:rsidRDefault="003723C2">
      <w:bookmarkStart w:id="0" w:name="_GoBack"/>
      <w:bookmarkEnd w:id="0"/>
    </w:p>
    <w:sectPr w:rsidR="00CF6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outhern P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E22E9"/>
    <w:multiLevelType w:val="hybridMultilevel"/>
    <w:tmpl w:val="DDB4C0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C2"/>
    <w:rsid w:val="003723C2"/>
    <w:rsid w:val="007B7530"/>
    <w:rsid w:val="00F8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590A2-3556-4229-AD0C-CAD818FC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Otw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1105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Sabała</dc:creator>
  <cp:keywords/>
  <dc:description/>
  <cp:lastModifiedBy>Grażyna Sabała</cp:lastModifiedBy>
  <cp:revision>1</cp:revision>
  <dcterms:created xsi:type="dcterms:W3CDTF">2022-03-24T14:04:00Z</dcterms:created>
  <dcterms:modified xsi:type="dcterms:W3CDTF">2022-03-24T14:05:00Z</dcterms:modified>
</cp:coreProperties>
</file>